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FB" w:rsidRDefault="00AF44FB">
      <w:pPr>
        <w:pStyle w:val="ConsPlusNormal"/>
        <w:ind w:firstLine="540"/>
        <w:jc w:val="both"/>
        <w:outlineLvl w:val="0"/>
      </w:pPr>
    </w:p>
    <w:p w:rsidR="00AF44FB" w:rsidRDefault="00AF44FB">
      <w:pPr>
        <w:pStyle w:val="ConsPlusTitle"/>
        <w:jc w:val="center"/>
        <w:outlineLvl w:val="0"/>
      </w:pPr>
      <w:r>
        <w:t>МЭРИЯ ГОРОДА НОВОСИБИРСКА</w:t>
      </w:r>
    </w:p>
    <w:p w:rsidR="00AF44FB" w:rsidRDefault="00AF44FB">
      <w:pPr>
        <w:pStyle w:val="ConsPlusTitle"/>
        <w:jc w:val="center"/>
      </w:pPr>
    </w:p>
    <w:p w:rsidR="00AF44FB" w:rsidRDefault="00AF44FB">
      <w:pPr>
        <w:pStyle w:val="ConsPlusTitle"/>
        <w:jc w:val="center"/>
      </w:pPr>
      <w:r>
        <w:t>ПОСТАНОВЛЕНИЕ</w:t>
      </w:r>
    </w:p>
    <w:p w:rsidR="00AF44FB" w:rsidRDefault="00AF44FB">
      <w:pPr>
        <w:pStyle w:val="ConsPlusTitle"/>
        <w:jc w:val="center"/>
      </w:pPr>
      <w:r>
        <w:t>от 30 марта 2016 г. N 1148</w:t>
      </w:r>
    </w:p>
    <w:p w:rsidR="00AF44FB" w:rsidRDefault="00AF44FB">
      <w:pPr>
        <w:pStyle w:val="ConsPlusTitle"/>
        <w:jc w:val="center"/>
      </w:pPr>
    </w:p>
    <w:p w:rsidR="00AF44FB" w:rsidRDefault="00AF44FB">
      <w:pPr>
        <w:pStyle w:val="ConsPlusTitle"/>
        <w:jc w:val="center"/>
      </w:pPr>
      <w:r>
        <w:t xml:space="preserve">О ПРЕОБРАЗОВАНИИ </w:t>
      </w:r>
      <w:proofErr w:type="gramStart"/>
      <w:r>
        <w:t>АВТОМАТИЗИРОВАННОЙ</w:t>
      </w:r>
      <w:proofErr w:type="gramEnd"/>
      <w:r>
        <w:t xml:space="preserve"> ИНФОРМАЦИОННОЙ</w:t>
      </w:r>
    </w:p>
    <w:p w:rsidR="00AF44FB" w:rsidRDefault="00AF44FB">
      <w:pPr>
        <w:pStyle w:val="ConsPlusTitle"/>
        <w:jc w:val="center"/>
      </w:pPr>
      <w:r>
        <w:t xml:space="preserve">СИСТЕМЫ "ЛЬГОТНИКИ" В </w:t>
      </w:r>
      <w:proofErr w:type="gramStart"/>
      <w:r>
        <w:t>МУНИЦИПАЛЬНУЮ</w:t>
      </w:r>
      <w:proofErr w:type="gramEnd"/>
    </w:p>
    <w:p w:rsidR="00AF44FB" w:rsidRDefault="00AF44FB">
      <w:pPr>
        <w:pStyle w:val="ConsPlusTitle"/>
        <w:jc w:val="center"/>
      </w:pPr>
      <w:r>
        <w:t>ИНФОРМАЦИОННУЮ СИСТЕМУ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  <w:proofErr w:type="gramStart"/>
      <w:r>
        <w:t xml:space="preserve">В целях обеспечения учета и регистрации информации об отдельных категориях граждан, пользующихся мерами социальной поддержки при проезде в городском общественном пассажирском транспорте, необходимой при предоставлении муниципальных услуг по назначению и выплате ежемесячной денежной выплаты отдельным категориям граждан, оформлению и выдаче микропроцессорной пластиковой карты "Социальная карта",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</w:t>
      </w:r>
      <w:proofErr w:type="gramEnd"/>
      <w:r>
        <w:t xml:space="preserve">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1. Преобразовать автоматизированную информационную систему "Льготники" в муниципальную информационную систему "Льготники".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 Определить органом, уполномоченным на осуществление функций оператора муниципальной информационной системы "Льготники", департамент по социальной политике мэрии города Новосибирска.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"Льготники" (приложение).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- начальника Главного управления образования мэрии города Новосибирска.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right"/>
      </w:pPr>
      <w:r>
        <w:t>Мэр города Новосибирска</w:t>
      </w:r>
    </w:p>
    <w:p w:rsidR="00AF44FB" w:rsidRDefault="00AF44FB">
      <w:pPr>
        <w:pStyle w:val="ConsPlusNormal"/>
        <w:jc w:val="right"/>
      </w:pPr>
      <w:r>
        <w:t>А.Е.ЛОКОТЬ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right"/>
        <w:outlineLvl w:val="0"/>
      </w:pPr>
      <w:r>
        <w:t>Приложение</w:t>
      </w:r>
    </w:p>
    <w:p w:rsidR="00AF44FB" w:rsidRDefault="00AF44FB">
      <w:pPr>
        <w:pStyle w:val="ConsPlusNormal"/>
        <w:jc w:val="right"/>
      </w:pPr>
      <w:r>
        <w:t>к постановлению</w:t>
      </w:r>
    </w:p>
    <w:p w:rsidR="00AF44FB" w:rsidRDefault="00AF44FB">
      <w:pPr>
        <w:pStyle w:val="ConsPlusNormal"/>
        <w:jc w:val="right"/>
      </w:pPr>
      <w:r>
        <w:t>мэрии города Новосибирска</w:t>
      </w:r>
    </w:p>
    <w:p w:rsidR="00AF44FB" w:rsidRDefault="00AF44FB">
      <w:pPr>
        <w:pStyle w:val="ConsPlusNormal"/>
        <w:jc w:val="right"/>
      </w:pPr>
      <w:r>
        <w:t>от 30.03.2016 N 1148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Title"/>
        <w:jc w:val="center"/>
      </w:pPr>
      <w:bookmarkStart w:id="0" w:name="P29"/>
      <w:bookmarkEnd w:id="0"/>
      <w:r>
        <w:t>ПОЛОЖЕНИЕ</w:t>
      </w:r>
    </w:p>
    <w:p w:rsidR="00AF44FB" w:rsidRDefault="00AF44FB">
      <w:pPr>
        <w:pStyle w:val="ConsPlusTitle"/>
        <w:jc w:val="center"/>
      </w:pPr>
      <w:r>
        <w:t>О МУНИЦИПАЛЬНОЙ ИНФОРМАЦИОННОЙ СИСТЕМЕ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center"/>
        <w:outlineLvl w:val="1"/>
      </w:pPr>
      <w:r>
        <w:t>1. Общие положения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  <w:r>
        <w:t xml:space="preserve">1.1. Положение о муниципальной информационной системе "Льготники" (далее - </w:t>
      </w:r>
      <w:r>
        <w:lastRenderedPageBreak/>
        <w:t xml:space="preserve">Положение) разработано 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9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1.2. Положение определяет оператора муниципальной информационной системы "Льготники" (далее - МИС "Льготники"), вид и состав размещаемой в МИС "Льготники" информации, порядок и сроки ее размещения и обработки, субъекты, обязанные представлять информацию для размещения в МИС "Льготники", обеспечивать ее достоверность и актуальность, а также требования к предоставлению доступа к МИС "Льготники" пользователям.</w:t>
      </w:r>
    </w:p>
    <w:p w:rsidR="00AF44FB" w:rsidRDefault="00AF44FB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1.3. </w:t>
      </w:r>
      <w:proofErr w:type="gramStart"/>
      <w:r>
        <w:t>МИС "Льготники" - информационная система, предназначенная для обработки информации об отдельных категориях граждан, пользующихся мерами социальной поддержки при проезде в общественном пассажирском транспорте, используемой при предоставлении муниципальных услуг по назначению и выплате ежемесячных денежных выплат отдельным категориям граждан (далее - ЕДВ), оформлению и выдаче микропроцессорных пластиковых карт "Социальная карта" и "</w:t>
      </w:r>
      <w:proofErr w:type="spellStart"/>
      <w:r>
        <w:t>МПК-дисконт</w:t>
      </w:r>
      <w:proofErr w:type="spellEnd"/>
      <w:r>
        <w:t>" (далее - МПК "Социальная карта", карта "</w:t>
      </w:r>
      <w:proofErr w:type="spellStart"/>
      <w:r>
        <w:t>МПК-дисконт</w:t>
      </w:r>
      <w:proofErr w:type="spellEnd"/>
      <w:r>
        <w:t>").</w:t>
      </w:r>
      <w:proofErr w:type="gramEnd"/>
    </w:p>
    <w:p w:rsidR="00AF44FB" w:rsidRDefault="00AF44FB">
      <w:pPr>
        <w:pStyle w:val="ConsPlusNormal"/>
        <w:spacing w:before="220"/>
        <w:ind w:firstLine="540"/>
        <w:jc w:val="both"/>
      </w:pPr>
      <w:r>
        <w:t>1.4. Оператором МИС "Льготники" является департамент по социальной политике мэрии города Новосибирска.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1.5. Организационное обеспечение устойчивого и безопасного функционирования МИС "Льготники", в том числе обеспечение целостности, доступности и конфиденциальности обрабатываемой информации, осуществляет департамент по социальной политике мэрии города Новосибирска.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1.6. Техническое обеспечение устойчивого и безопасного функционирования МИС "Льготники", в том числе обеспечение целостности, доступности и конфиденциальности обрабатываемой информации, осуществляет департамент связи и информатизации мэрии города Новосибирска.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center"/>
        <w:outlineLvl w:val="1"/>
      </w:pPr>
      <w:bookmarkStart w:id="2" w:name="P41"/>
      <w:bookmarkEnd w:id="2"/>
      <w:r>
        <w:t>2. Вид и состав информации, подлежащей</w:t>
      </w:r>
    </w:p>
    <w:p w:rsidR="00AF44FB" w:rsidRDefault="00AF44FB">
      <w:pPr>
        <w:pStyle w:val="ConsPlusNormal"/>
        <w:jc w:val="center"/>
      </w:pPr>
      <w:r>
        <w:t>размещению в МИС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  <w:r>
        <w:t xml:space="preserve">2.1. Информация, размещенная в МИС "Льготники", </w:t>
      </w:r>
      <w:proofErr w:type="gramStart"/>
      <w:r>
        <w:t>содержит персональные данные и является</w:t>
      </w:r>
      <w:proofErr w:type="gramEnd"/>
      <w:r>
        <w:t xml:space="preserve"> информацией ограниченного доступа.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2.2. В состав МИС "Льготники" включаются следующие информационные подсистемы: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подсистема учета граждан, проживающих в городе Новосибирске, пользующихся мерами социальной поддержки;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подсистема учета предоставления гражданам, проживающим в городе Новосибирске, мер социальной поддержки в соответствии с нормативными правовыми актами мэрии города Новосибирска;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подсистема ведения необходимых для функционирования системы справочников;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подсистема формирования отчетов и реестров.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2.3. В МИС "Льготники" размещаются сведения, указанные в </w:t>
      </w:r>
      <w:hyperlink w:anchor="P36" w:history="1">
        <w:r>
          <w:rPr>
            <w:color w:val="0000FF"/>
          </w:rPr>
          <w:t>пункте 1.3</w:t>
        </w:r>
      </w:hyperlink>
      <w:r>
        <w:t xml:space="preserve"> Положения, в соответствии со следующими разделами: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2.3.1. В разделе "Общие сведения о получателе мер социальной поддержки":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lastRenderedPageBreak/>
        <w:t>фамилия;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имя;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отчество (при наличии);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число, месяц, год рождения;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пол;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адрес места регистрации;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адрес фактического места жительства;</w:t>
      </w:r>
    </w:p>
    <w:p w:rsidR="00AF44FB" w:rsidRDefault="00AF44FB">
      <w:pPr>
        <w:pStyle w:val="ConsPlusNormal"/>
        <w:spacing w:before="220"/>
        <w:ind w:firstLine="540"/>
        <w:jc w:val="both"/>
      </w:pPr>
      <w:proofErr w:type="gramStart"/>
      <w:r>
        <w:t>документ, удостоверяющий личность (вид, серия, номер, наименование органа, выдавшего документ, дата выдачи);</w:t>
      </w:r>
      <w:proofErr w:type="gramEnd"/>
    </w:p>
    <w:p w:rsidR="00AF44FB" w:rsidRDefault="00AF44FB">
      <w:pPr>
        <w:pStyle w:val="ConsPlusNormal"/>
        <w:spacing w:before="220"/>
        <w:ind w:firstLine="540"/>
        <w:jc w:val="both"/>
      </w:pPr>
      <w:r>
        <w:t>документ, дающий право на меры социальной поддержки (вид, номер, наименование органа, выдавшего документ, дата выдачи);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номер домашнего или мобильного телефона гражданина;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дата смерти (номер, дата актовой записи).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2.3.2. В разделе "Сведения о получаемых гражданами мерах социальной поддержки":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2.3.2.1. Сведения о назначении и выплате ЕДВ: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дата назначения;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размер </w:t>
      </w:r>
      <w:proofErr w:type="gramStart"/>
      <w:r>
        <w:t>назначенной</w:t>
      </w:r>
      <w:proofErr w:type="gramEnd"/>
      <w:r>
        <w:t xml:space="preserve"> ЕДВ;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способ выплаты;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номер счета и реквизиты кредитной организации (в случае осуществления ЕДВ через кредитную организацию);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номер почтового отделения (в случае осуществления ЕДВ через почтовые отделения);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дата приостановления/восстановления ЕДВ;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дата прекращения ЕДВ;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причина прекращения ЕДВ;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даты формирования и отправки реестра на выплату ЕДВ;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дата финансирования;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сумма </w:t>
      </w:r>
      <w:proofErr w:type="gramStart"/>
      <w:r>
        <w:t>выплаченной</w:t>
      </w:r>
      <w:proofErr w:type="gramEnd"/>
      <w:r>
        <w:t xml:space="preserve"> ЕДВ.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2.3.2.2. Сведения о предоставлении льготного проезда в городском общественном пассажирском транспорте по МПК "Социальная карта", карте "</w:t>
      </w:r>
      <w:proofErr w:type="spellStart"/>
      <w:r>
        <w:t>МПК-дисконт</w:t>
      </w:r>
      <w:proofErr w:type="spellEnd"/>
      <w:r>
        <w:t>":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наличие МПК "Социальная карта" (номер карты, дата выдачи);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наличие карты "</w:t>
      </w:r>
      <w:proofErr w:type="spellStart"/>
      <w:r>
        <w:t>МПК-дисконт</w:t>
      </w:r>
      <w:proofErr w:type="spellEnd"/>
      <w:r>
        <w:t>" (номер карты, дата выдачи);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форма управления поездками ("</w:t>
      </w:r>
      <w:proofErr w:type="spellStart"/>
      <w:r>
        <w:t>безлимитная</w:t>
      </w:r>
      <w:proofErr w:type="spellEnd"/>
      <w:r>
        <w:t>", "лимитная"), дата установления;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lastRenderedPageBreak/>
        <w:t>дата начала и окончания срока действия карты;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даты формирования и отправки реестра на изготовление карт.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2.3.3. В разделе "Формирование реестров и отчетов":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реестры на выплату ЕДВ через кредитные организации;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реестры на выплату ЕДВ через почтовые отделения;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реестры на изготовление МПК "Социальная карта", карт "</w:t>
      </w:r>
      <w:proofErr w:type="spellStart"/>
      <w:r>
        <w:t>МПК-дисконт</w:t>
      </w:r>
      <w:proofErr w:type="spellEnd"/>
      <w:r>
        <w:t>".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center"/>
        <w:outlineLvl w:val="1"/>
      </w:pPr>
      <w:r>
        <w:t>3. Порядок и сроки размещения и</w:t>
      </w:r>
    </w:p>
    <w:p w:rsidR="00AF44FB" w:rsidRDefault="00AF44FB">
      <w:pPr>
        <w:pStyle w:val="ConsPlusNormal"/>
        <w:jc w:val="center"/>
      </w:pPr>
      <w:r>
        <w:t>обработки информации в МИС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  <w:bookmarkStart w:id="3" w:name="P90"/>
      <w:bookmarkEnd w:id="3"/>
      <w:r>
        <w:t>3.1. Лицами, ответственными за предоставление, размещение информации, обеспечение ее достоверности и актуальности в МИС "Льготники", являются специалисты отделов социальной поддержки населения администраций районов (округа по районам) города Новосибирска, назначаемые приказом главы соответствующей администрации района (округа по районам) города Новосибирска (далее - отделы социальной поддержки населения администраций).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3.2. Формирование разделов в составе МИС "Льготники" осуществляется путем внесения в них сведений, указанных в </w:t>
      </w:r>
      <w:hyperlink w:anchor="P41" w:history="1">
        <w:r>
          <w:rPr>
            <w:color w:val="0000FF"/>
          </w:rPr>
          <w:t>разделе 2</w:t>
        </w:r>
      </w:hyperlink>
      <w:r>
        <w:t xml:space="preserve"> Положения, отделами социальной поддержки населения администраций в сроки, предусмотренные административными регламентами предоставления муниципальных услуг по назначению и выплате ЕДВ, по оформлению и выдаче МПК "Социальная карта", карты "</w:t>
      </w:r>
      <w:proofErr w:type="spellStart"/>
      <w:r>
        <w:t>МПК-дисконт</w:t>
      </w:r>
      <w:proofErr w:type="spellEnd"/>
      <w:r>
        <w:t>", утвержденными постановлениями мэрии города Новосибирска.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3.3. Информация поддерживается в актуальном состоянии, в случае изменения сведений о лицах, указанных в </w:t>
      </w:r>
      <w:hyperlink w:anchor="P36" w:history="1">
        <w:r>
          <w:rPr>
            <w:color w:val="0000FF"/>
          </w:rPr>
          <w:t>пункте 1.3</w:t>
        </w:r>
      </w:hyperlink>
      <w:r>
        <w:t xml:space="preserve"> Положения, соответствующие изменения в МИС "Льготники" вносятся в течение 15 дней со дня, следующего за днем поступления информации об изменении указанных сведений.</w:t>
      </w:r>
    </w:p>
    <w:p w:rsidR="00AF44FB" w:rsidRDefault="00AF44FB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3.4. </w:t>
      </w:r>
      <w:proofErr w:type="gramStart"/>
      <w:r>
        <w:t>Контроль за</w:t>
      </w:r>
      <w:proofErr w:type="gramEnd"/>
      <w:r>
        <w:t xml:space="preserve"> внесением в МИС "Льготники" сведений осуществляется ответственными работниками департамента по социальной политике мэрии города Новосибирска, назначаемыми приказом начальника департамента по социальной политике мэрии города Новосибирска.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center"/>
        <w:outlineLvl w:val="1"/>
      </w:pPr>
      <w:r>
        <w:t>4. Порядок предоставления доступа</w:t>
      </w:r>
    </w:p>
    <w:p w:rsidR="00AF44FB" w:rsidRDefault="00AF44FB">
      <w:pPr>
        <w:pStyle w:val="ConsPlusNormal"/>
        <w:jc w:val="center"/>
      </w:pPr>
      <w:r>
        <w:t>к МИС "Льготники" пользователям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  <w:r>
        <w:t xml:space="preserve">4.1. Доступ к информации, размещенной в МИС "Льготники", кроме лиц, указанных в </w:t>
      </w:r>
      <w:hyperlink w:anchor="P90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93" w:history="1">
        <w:r>
          <w:rPr>
            <w:color w:val="0000FF"/>
          </w:rPr>
          <w:t>3.4</w:t>
        </w:r>
      </w:hyperlink>
      <w:r>
        <w:t xml:space="preserve"> Положения, имеют специалисты: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муниципального бюджетного учреждения города Новосибирска по обслуживанию лиц пожилого возраста и инвалидов "Ветеран" (далее - МБУ "Ветеран") - в режиме просмотра;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 (далее - ГАУ "МФЦ") - в режиме просмотра с возможностью отметки даты выдачи МПК "Социальная карта", карты "</w:t>
      </w:r>
      <w:proofErr w:type="spellStart"/>
      <w:r>
        <w:t>МПК-дисконт</w:t>
      </w:r>
      <w:proofErr w:type="spellEnd"/>
      <w:r>
        <w:t>".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 xml:space="preserve">4.2. Доступ к МИС "Льготники" предоставляется департаментом связи и информатизации мэрии города Новосибирска на основании </w:t>
      </w:r>
      <w:hyperlink w:anchor="P115" w:history="1">
        <w:r>
          <w:rPr>
            <w:color w:val="0000FF"/>
          </w:rPr>
          <w:t>письма</w:t>
        </w:r>
      </w:hyperlink>
      <w:r>
        <w:t xml:space="preserve"> начальника департамента по социальной политике мэрии города Новосибирска, главы администрации района (округа по районам) города Новосибирска, руководителя МБУ "Ветеран", руководителя ГАУ "МФЦ" по согласованию с оператором МИС "Льготники" (приложение).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lastRenderedPageBreak/>
        <w:t xml:space="preserve">4.3. К письму прикладывается копия приказа руководителя о назначении ответственного лица с отметкой об ознакомлении, документы для изготовления и установки средств защиты в соответствии с Инструкцией по обеспечению безопасности эксплуатации шифровальных (криптографических) средств </w:t>
      </w:r>
      <w:proofErr w:type="spellStart"/>
      <w:r>
        <w:t>ViPNet</w:t>
      </w:r>
      <w:proofErr w:type="spellEnd"/>
      <w:r>
        <w:t xml:space="preserve"> в защищенной сети мэрии города Новосибирска.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4.4. В случае изменения ответственного лица копия приказа о его назначении направляется с сопроводительным письмом в департамент связи и информатизации мэрии города Новосибирска в течение пяти рабочих дней, следующих за днем назначения.</w:t>
      </w:r>
    </w:p>
    <w:p w:rsidR="00AF44FB" w:rsidRDefault="00AF44FB">
      <w:pPr>
        <w:pStyle w:val="ConsPlusNormal"/>
        <w:spacing w:before="220"/>
        <w:ind w:firstLine="540"/>
        <w:jc w:val="both"/>
      </w:pPr>
      <w:r>
        <w:t>4.5. При организации доступа к МИС "Льготники" департаментом связи и информатизации мэрии города Новосибирска обеспечивается защита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sectPr w:rsidR="00AF44FB" w:rsidSect="00B37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4FB" w:rsidRDefault="00AF44FB">
      <w:pPr>
        <w:pStyle w:val="ConsPlusNormal"/>
        <w:jc w:val="right"/>
        <w:outlineLvl w:val="1"/>
      </w:pPr>
      <w:r>
        <w:lastRenderedPageBreak/>
        <w:t>Приложение</w:t>
      </w:r>
    </w:p>
    <w:p w:rsidR="00AF44FB" w:rsidRDefault="00AF44FB">
      <w:pPr>
        <w:pStyle w:val="ConsPlusNormal"/>
        <w:jc w:val="right"/>
      </w:pPr>
      <w:r>
        <w:t>к Положению</w:t>
      </w:r>
    </w:p>
    <w:p w:rsidR="00AF44FB" w:rsidRDefault="00AF44FB">
      <w:pPr>
        <w:pStyle w:val="ConsPlusNormal"/>
        <w:jc w:val="right"/>
      </w:pPr>
      <w:r>
        <w:t>о муниципальной информационной</w:t>
      </w:r>
    </w:p>
    <w:p w:rsidR="00AF44FB" w:rsidRDefault="00AF44FB">
      <w:pPr>
        <w:pStyle w:val="ConsPlusNormal"/>
        <w:jc w:val="right"/>
      </w:pPr>
      <w:r>
        <w:t>системе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jc w:val="center"/>
      </w:pPr>
      <w:bookmarkStart w:id="5" w:name="P115"/>
      <w:bookmarkEnd w:id="5"/>
      <w:r>
        <w:t>ОБРАЗЕЦ</w:t>
      </w:r>
    </w:p>
    <w:p w:rsidR="00AF44FB" w:rsidRDefault="00AF44FB">
      <w:pPr>
        <w:pStyle w:val="ConsPlusNormal"/>
        <w:jc w:val="center"/>
      </w:pPr>
      <w:r>
        <w:t xml:space="preserve">письма о предоставлении доступа к </w:t>
      </w:r>
      <w:proofErr w:type="gramStart"/>
      <w:r>
        <w:t>муниципальной</w:t>
      </w:r>
      <w:proofErr w:type="gramEnd"/>
    </w:p>
    <w:p w:rsidR="00AF44FB" w:rsidRDefault="00AF44FB">
      <w:pPr>
        <w:pStyle w:val="ConsPlusNormal"/>
        <w:jc w:val="center"/>
      </w:pPr>
      <w:r>
        <w:t>информационной системе "Льготники"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nformat"/>
        <w:jc w:val="both"/>
      </w:pPr>
      <w:r>
        <w:t>Бланк структурного подразделения                    Начальнику департамента</w:t>
      </w:r>
    </w:p>
    <w:p w:rsidR="00AF44FB" w:rsidRDefault="00AF44FB">
      <w:pPr>
        <w:pStyle w:val="ConsPlusNonformat"/>
        <w:jc w:val="both"/>
      </w:pPr>
      <w:r>
        <w:t xml:space="preserve">   мэрии города Новосибирска                        связи и  информатизации</w:t>
      </w:r>
    </w:p>
    <w:p w:rsidR="00AF44FB" w:rsidRDefault="00AF44FB">
      <w:pPr>
        <w:pStyle w:val="ConsPlusNonformat"/>
        <w:jc w:val="both"/>
      </w:pPr>
      <w:r>
        <w:t xml:space="preserve">          (организации)                             мэрии            города</w:t>
      </w:r>
    </w:p>
    <w:p w:rsidR="00AF44FB" w:rsidRDefault="00AF44FB">
      <w:pPr>
        <w:pStyle w:val="ConsPlusNonformat"/>
        <w:jc w:val="both"/>
      </w:pPr>
      <w:r>
        <w:t xml:space="preserve">                                                    Новосибирска</w:t>
      </w:r>
    </w:p>
    <w:p w:rsidR="00AF44FB" w:rsidRDefault="00AF44FB">
      <w:pPr>
        <w:pStyle w:val="ConsPlusNonformat"/>
        <w:jc w:val="both"/>
      </w:pPr>
      <w:r>
        <w:t xml:space="preserve">                                                    _______________________</w:t>
      </w:r>
    </w:p>
    <w:p w:rsidR="00AF44FB" w:rsidRDefault="00AF44FB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AF44FB" w:rsidRDefault="00AF44FB">
      <w:pPr>
        <w:pStyle w:val="ConsPlusNonformat"/>
        <w:jc w:val="both"/>
      </w:pPr>
    </w:p>
    <w:p w:rsidR="00AF44FB" w:rsidRDefault="00AF44FB">
      <w:pPr>
        <w:pStyle w:val="ConsPlusNonformat"/>
        <w:jc w:val="both"/>
      </w:pPr>
      <w:r>
        <w:t xml:space="preserve">    Прошу   предоставить  доступ  к  муниципальной  информационной  системе</w:t>
      </w:r>
    </w:p>
    <w:p w:rsidR="00AF44FB" w:rsidRDefault="00AF44FB">
      <w:pPr>
        <w:pStyle w:val="ConsPlusNonformat"/>
        <w:jc w:val="both"/>
      </w:pPr>
      <w:r>
        <w:t>"Льготники" следующим работникам:</w:t>
      </w:r>
    </w:p>
    <w:p w:rsidR="00AF44FB" w:rsidRDefault="00AF44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1"/>
        <w:gridCol w:w="1417"/>
        <w:gridCol w:w="1985"/>
        <w:gridCol w:w="1275"/>
        <w:gridCol w:w="1304"/>
        <w:gridCol w:w="1304"/>
      </w:tblGrid>
      <w:tr w:rsidR="00AF44FB">
        <w:tc>
          <w:tcPr>
            <w:tcW w:w="624" w:type="dxa"/>
            <w:vMerge w:val="restart"/>
          </w:tcPr>
          <w:p w:rsidR="00AF44FB" w:rsidRDefault="00AF44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F44FB" w:rsidRDefault="00AF44FB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417" w:type="dxa"/>
            <w:vMerge w:val="restart"/>
          </w:tcPr>
          <w:p w:rsidR="00AF44FB" w:rsidRDefault="00AF44F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5" w:type="dxa"/>
            <w:vMerge w:val="restart"/>
          </w:tcPr>
          <w:p w:rsidR="00AF44FB" w:rsidRDefault="00AF44FB">
            <w:pPr>
              <w:pStyle w:val="ConsPlusNormal"/>
              <w:jc w:val="center"/>
            </w:pPr>
            <w:r>
              <w:t>Структурное подразделение мэрии города Новосибирска, организация</w:t>
            </w:r>
          </w:p>
        </w:tc>
        <w:tc>
          <w:tcPr>
            <w:tcW w:w="1275" w:type="dxa"/>
            <w:vMerge w:val="restart"/>
          </w:tcPr>
          <w:p w:rsidR="00AF44FB" w:rsidRDefault="00AF44F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608" w:type="dxa"/>
            <w:gridSpan w:val="2"/>
          </w:tcPr>
          <w:p w:rsidR="00AF44FB" w:rsidRDefault="00AF44FB">
            <w:pPr>
              <w:pStyle w:val="ConsPlusNormal"/>
              <w:jc w:val="center"/>
            </w:pPr>
            <w:r>
              <w:t>Доступ</w:t>
            </w:r>
          </w:p>
        </w:tc>
      </w:tr>
      <w:tr w:rsidR="00AF44FB">
        <w:tc>
          <w:tcPr>
            <w:tcW w:w="624" w:type="dxa"/>
            <w:vMerge/>
          </w:tcPr>
          <w:p w:rsidR="00AF44FB" w:rsidRDefault="00AF44FB"/>
        </w:tc>
        <w:tc>
          <w:tcPr>
            <w:tcW w:w="1701" w:type="dxa"/>
            <w:vMerge/>
          </w:tcPr>
          <w:p w:rsidR="00AF44FB" w:rsidRDefault="00AF44FB"/>
        </w:tc>
        <w:tc>
          <w:tcPr>
            <w:tcW w:w="1417" w:type="dxa"/>
            <w:vMerge/>
          </w:tcPr>
          <w:p w:rsidR="00AF44FB" w:rsidRDefault="00AF44FB"/>
        </w:tc>
        <w:tc>
          <w:tcPr>
            <w:tcW w:w="1985" w:type="dxa"/>
            <w:vMerge/>
          </w:tcPr>
          <w:p w:rsidR="00AF44FB" w:rsidRDefault="00AF44FB"/>
        </w:tc>
        <w:tc>
          <w:tcPr>
            <w:tcW w:w="1275" w:type="dxa"/>
            <w:vMerge/>
          </w:tcPr>
          <w:p w:rsidR="00AF44FB" w:rsidRDefault="00AF44FB"/>
        </w:tc>
        <w:tc>
          <w:tcPr>
            <w:tcW w:w="1304" w:type="dxa"/>
          </w:tcPr>
          <w:p w:rsidR="00AF44FB" w:rsidRDefault="00AF44FB">
            <w:pPr>
              <w:pStyle w:val="ConsPlusNormal"/>
              <w:jc w:val="center"/>
            </w:pPr>
            <w:r>
              <w:t>редактирование</w:t>
            </w:r>
          </w:p>
        </w:tc>
        <w:tc>
          <w:tcPr>
            <w:tcW w:w="1304" w:type="dxa"/>
          </w:tcPr>
          <w:p w:rsidR="00AF44FB" w:rsidRDefault="00AF44FB">
            <w:pPr>
              <w:pStyle w:val="ConsPlusNormal"/>
              <w:jc w:val="center"/>
            </w:pPr>
            <w:r>
              <w:t>просмотр</w:t>
            </w:r>
          </w:p>
        </w:tc>
      </w:tr>
      <w:tr w:rsidR="00AF44FB">
        <w:tc>
          <w:tcPr>
            <w:tcW w:w="624" w:type="dxa"/>
          </w:tcPr>
          <w:p w:rsidR="00AF44FB" w:rsidRDefault="00AF4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44FB" w:rsidRDefault="00AF4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F44FB" w:rsidRDefault="00AF4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F44FB" w:rsidRDefault="00AF4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F44FB" w:rsidRDefault="00AF4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F44FB" w:rsidRDefault="00AF4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F44FB" w:rsidRDefault="00AF44FB">
            <w:pPr>
              <w:pStyle w:val="ConsPlusNormal"/>
              <w:jc w:val="center"/>
            </w:pPr>
            <w:r>
              <w:t>7</w:t>
            </w:r>
          </w:p>
        </w:tc>
      </w:tr>
      <w:tr w:rsidR="00AF44FB">
        <w:tc>
          <w:tcPr>
            <w:tcW w:w="624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701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417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985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275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304" w:type="dxa"/>
          </w:tcPr>
          <w:p w:rsidR="00AF44FB" w:rsidRDefault="00AF44FB">
            <w:pPr>
              <w:pStyle w:val="ConsPlusNormal"/>
            </w:pPr>
          </w:p>
        </w:tc>
        <w:tc>
          <w:tcPr>
            <w:tcW w:w="1304" w:type="dxa"/>
          </w:tcPr>
          <w:p w:rsidR="00AF44FB" w:rsidRDefault="00AF44FB">
            <w:pPr>
              <w:pStyle w:val="ConsPlusNormal"/>
            </w:pPr>
          </w:p>
        </w:tc>
      </w:tr>
    </w:tbl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nformat"/>
        <w:jc w:val="both"/>
      </w:pPr>
      <w:r>
        <w:t>Наименование должности руководителя   _____________ _______________________</w:t>
      </w:r>
    </w:p>
    <w:p w:rsidR="00AF44FB" w:rsidRDefault="00AF44FB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AF44FB" w:rsidRDefault="00AF44FB">
      <w:pPr>
        <w:pStyle w:val="ConsPlusNonformat"/>
        <w:jc w:val="both"/>
      </w:pPr>
    </w:p>
    <w:p w:rsidR="00AF44FB" w:rsidRDefault="00AF44FB">
      <w:pPr>
        <w:pStyle w:val="ConsPlusNonformat"/>
        <w:jc w:val="both"/>
      </w:pPr>
      <w:r>
        <w:t>СОГЛАСОВАНО</w:t>
      </w:r>
    </w:p>
    <w:p w:rsidR="00AF44FB" w:rsidRDefault="00AF44FB">
      <w:pPr>
        <w:pStyle w:val="ConsPlusNonformat"/>
        <w:jc w:val="both"/>
      </w:pPr>
      <w:r>
        <w:t>Начальник департамента по социальной политике</w:t>
      </w:r>
    </w:p>
    <w:p w:rsidR="00AF44FB" w:rsidRDefault="00AF44FB">
      <w:pPr>
        <w:pStyle w:val="ConsPlusNonformat"/>
        <w:jc w:val="both"/>
      </w:pPr>
      <w:r>
        <w:t>мэрии города Новосибирска</w:t>
      </w:r>
    </w:p>
    <w:p w:rsidR="00AF44FB" w:rsidRDefault="00AF44FB">
      <w:pPr>
        <w:pStyle w:val="ConsPlusNonformat"/>
        <w:jc w:val="both"/>
      </w:pPr>
    </w:p>
    <w:p w:rsidR="00AF44FB" w:rsidRDefault="00AF44FB">
      <w:pPr>
        <w:pStyle w:val="ConsPlusNonformat"/>
        <w:jc w:val="both"/>
      </w:pPr>
      <w:r>
        <w:t>_____________ _______________________</w:t>
      </w:r>
    </w:p>
    <w:p w:rsidR="00AF44FB" w:rsidRDefault="00AF44FB">
      <w:pPr>
        <w:pStyle w:val="ConsPlusNonformat"/>
        <w:jc w:val="both"/>
      </w:pPr>
      <w:r>
        <w:lastRenderedPageBreak/>
        <w:t xml:space="preserve">  (подпись)     (инициалы, фамилия)</w:t>
      </w: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ind w:firstLine="540"/>
        <w:jc w:val="both"/>
      </w:pPr>
    </w:p>
    <w:p w:rsidR="00AF44FB" w:rsidRDefault="00AF4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F121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FB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AF44FB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81B02A2AF90F353335DF866CB038A01BD195DE8E8C106E6239C9625qBQ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81B02A2AF90F3533343F570A75D830ABE4E59EBE9CF58BD739AC17AE744CB6FqAQ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81B02A2AF90F3533343F570A75D830ABE4E59E2E8C359BF7CC7CB72BE48C968A5B499F6013CA9B59EDBq9QFK" TargetMode="External"/><Relationship Id="rId11" Type="http://schemas.openxmlformats.org/officeDocument/2006/relationships/hyperlink" Target="consultantplus://offline/ref=9A781B02A2AF90F3533343F570A75D830ABE4E59E2E8C359BF7CC7CB72BE48C968A5B499F6013CA9B59EDBq9QFK" TargetMode="External"/><Relationship Id="rId5" Type="http://schemas.openxmlformats.org/officeDocument/2006/relationships/hyperlink" Target="consultantplus://offline/ref=9A781B02A2AF90F353335DF866CB038A01BC1651EFECC106E6239C9625B7429E2FEAEDDBB20C3CABqBQ0K" TargetMode="External"/><Relationship Id="rId10" Type="http://schemas.openxmlformats.org/officeDocument/2006/relationships/hyperlink" Target="consultantplus://offline/ref=9A781B02A2AF90F3533343F570A75D830ABE4E59EBE9CF58BD739AC17AE744CB6FqAQAK" TargetMode="External"/><Relationship Id="rId4" Type="http://schemas.openxmlformats.org/officeDocument/2006/relationships/hyperlink" Target="consultantplus://offline/ref=9A781B02A2AF90F353335DF866CB038A01BD195DE8E8C106E6239C9625qBQ7K" TargetMode="External"/><Relationship Id="rId9" Type="http://schemas.openxmlformats.org/officeDocument/2006/relationships/hyperlink" Target="consultantplus://offline/ref=9A781B02A2AF90F353335DF866CB038A01BC1651EFECC106E6239C9625B7429E2FEAEDDBB20C3CABqB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2018-06-06T10:16:00Z</dcterms:created>
  <dcterms:modified xsi:type="dcterms:W3CDTF">2018-06-06T10:17:00Z</dcterms:modified>
</cp:coreProperties>
</file>