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Заключение</w:t>
      </w:r>
    </w:p>
    <w:p>
      <w:pPr>
        <w:pStyle w:val="Normal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комиссии об оценке последствий принятия решения </w:t>
      </w:r>
    </w:p>
    <w:p>
      <w:pPr>
        <w:pStyle w:val="Normal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об использовании объекта социальной инфраструктуры </w:t>
      </w:r>
    </w:p>
    <w:p>
      <w:pPr>
        <w:pStyle w:val="Normal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</w:r>
    </w:p>
    <w:p>
      <w:pPr>
        <w:pStyle w:val="Normal"/>
        <w:rPr>
          <w:sz w:val="27"/>
          <w:szCs w:val="27"/>
        </w:rPr>
      </w:pPr>
      <w:r>
        <w:rPr>
          <w:sz w:val="27"/>
          <w:szCs w:val="27"/>
        </w:rPr>
        <w:t>02.09.2026 г. г. Новосибирск</w:t>
      </w:r>
    </w:p>
    <w:p>
      <w:pPr>
        <w:pStyle w:val="Normal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ind w:firstLine="708"/>
        <w:jc w:val="both"/>
        <w:rPr>
          <w:rFonts w:eastAsia="Calibri" w:eastAsiaTheme="minorHAnsi"/>
          <w:sz w:val="27"/>
          <w:szCs w:val="27"/>
          <w:lang w:eastAsia="en-US"/>
        </w:rPr>
      </w:pPr>
      <w:r>
        <w:rPr>
          <w:rFonts w:eastAsia="Calibri" w:eastAsiaTheme="minorHAnsi"/>
          <w:sz w:val="27"/>
          <w:szCs w:val="27"/>
          <w:lang w:eastAsia="en-US"/>
        </w:rPr>
        <w:t>Комиссия по оценке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муниципальной собственностью города Новосибирска, о заключении муниципальной организацией города Новосибирска, образующей социальную инфраструктуру для детей, договора аренды, договора безвозмездного пользования закрепленных за ней объектов собственности, о реорганизации или ликвидации муниципальной организации города Новосибирска образующей социальную инфраструктуру для детей в сфере молодежной политики далее – Комиссия), утверждена постановлением мэрии города Новосибирска от 27.11.2024 № 10269.</w:t>
      </w:r>
    </w:p>
    <w:p>
      <w:pPr>
        <w:pStyle w:val="Normal"/>
        <w:ind w:firstLine="708"/>
        <w:jc w:val="both"/>
        <w:rPr>
          <w:rFonts w:eastAsia="Calibri" w:eastAsiaTheme="minorHAnsi"/>
          <w:sz w:val="27"/>
          <w:szCs w:val="27"/>
          <w:lang w:eastAsia="en-US"/>
        </w:rPr>
      </w:pPr>
      <w:r>
        <w:rPr>
          <w:rFonts w:eastAsia="Calibri" w:eastAsiaTheme="minorHAnsi"/>
          <w:sz w:val="27"/>
          <w:szCs w:val="27"/>
          <w:lang w:eastAsia="en-US"/>
        </w:rPr>
      </w:r>
    </w:p>
    <w:p>
      <w:pPr>
        <w:pStyle w:val="Normal"/>
        <w:jc w:val="both"/>
        <w:rPr>
          <w:rFonts w:eastAsia="Calibri" w:eastAsiaTheme="minorHAnsi"/>
          <w:b/>
          <w:bCs/>
          <w:sz w:val="27"/>
          <w:szCs w:val="27"/>
          <w:lang w:eastAsia="en-US"/>
        </w:rPr>
      </w:pPr>
      <w:r>
        <w:rPr>
          <w:rFonts w:eastAsia="Calibri" w:eastAsiaTheme="minorHAnsi"/>
          <w:b/>
          <w:bCs/>
          <w:sz w:val="27"/>
          <w:szCs w:val="27"/>
          <w:lang w:eastAsia="en-US"/>
        </w:rPr>
        <w:t>Комиссия в составе:</w:t>
      </w:r>
    </w:p>
    <w:tbl>
      <w:tblPr>
        <w:tblW w:w="9837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4269"/>
        <w:gridCol w:w="310"/>
        <w:gridCol w:w="5258"/>
      </w:tblGrid>
      <w:tr>
        <w:trPr>
          <w:trHeight w:val="964" w:hRule="atLeast"/>
        </w:trPr>
        <w:tc>
          <w:tcPr>
            <w:tcW w:w="4269" w:type="dxa"/>
            <w:tcBorders/>
          </w:tcPr>
          <w:p>
            <w:pPr>
              <w:pStyle w:val="Normal"/>
              <w:ind w:end="-1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Твердохлебов Евгений Юрьевич</w:t>
            </w:r>
          </w:p>
          <w:p>
            <w:pPr>
              <w:pStyle w:val="Normal"/>
              <w:ind w:end="-1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  <w:tc>
          <w:tcPr>
            <w:tcW w:w="310" w:type="dxa"/>
            <w:tcBorders/>
          </w:tcPr>
          <w:p>
            <w:pPr>
              <w:pStyle w:val="Normal"/>
              <w:ind w:end="-1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  <w:p>
            <w:pPr>
              <w:pStyle w:val="Normal"/>
              <w:ind w:end="-1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  <w:p>
            <w:pPr>
              <w:pStyle w:val="Normal"/>
              <w:ind w:end="-1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  <w:tc>
          <w:tcPr>
            <w:tcW w:w="5258" w:type="dxa"/>
            <w:tcBorders/>
          </w:tcPr>
          <w:p>
            <w:pPr>
              <w:pStyle w:val="Normal"/>
              <w:ind w:end="-1"/>
              <w:jc w:val="both"/>
              <w:rPr>
                <w:b/>
                <w:sz w:val="27"/>
                <w:szCs w:val="27"/>
              </w:rPr>
            </w:pPr>
            <w:r>
              <w:rPr>
                <w:sz w:val="27"/>
                <w:szCs w:val="27"/>
              </w:rPr>
              <w:t>начальник управления молодежной политики мэрии города Новосибирска, председатель комиссии;</w:t>
            </w:r>
          </w:p>
        </w:tc>
      </w:tr>
      <w:tr>
        <w:trPr>
          <w:trHeight w:val="964" w:hRule="atLeast"/>
        </w:trPr>
        <w:tc>
          <w:tcPr>
            <w:tcW w:w="4269" w:type="dxa"/>
            <w:tcBorders/>
          </w:tcPr>
          <w:p>
            <w:pPr>
              <w:pStyle w:val="Normal"/>
              <w:ind w:end="-1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Тюганов Дмитрий Андреевич</w:t>
            </w:r>
          </w:p>
        </w:tc>
        <w:tc>
          <w:tcPr>
            <w:tcW w:w="310" w:type="dxa"/>
            <w:tcBorders/>
          </w:tcPr>
          <w:p>
            <w:pPr>
              <w:pStyle w:val="Normal"/>
              <w:ind w:end="-1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5258" w:type="dxa"/>
            <w:tcBorders/>
          </w:tcPr>
          <w:p>
            <w:pPr>
              <w:pStyle w:val="Normal"/>
              <w:ind w:end="-1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заместитель начальника управления молодежной политики мэрии города Новосибирска – начальник отдела организационно-аналитической работы и контроля, заместитель председателя комиссии;</w:t>
            </w:r>
          </w:p>
        </w:tc>
      </w:tr>
      <w:tr>
        <w:trPr>
          <w:trHeight w:val="954" w:hRule="atLeast"/>
        </w:trPr>
        <w:tc>
          <w:tcPr>
            <w:tcW w:w="4269" w:type="dxa"/>
            <w:tcBorders/>
          </w:tcPr>
          <w:p>
            <w:pPr>
              <w:pStyle w:val="Normal"/>
              <w:ind w:end="-1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Коптяева Евгения Николаевна</w:t>
            </w:r>
          </w:p>
        </w:tc>
        <w:tc>
          <w:tcPr>
            <w:tcW w:w="310" w:type="dxa"/>
            <w:tcBorders/>
          </w:tcPr>
          <w:p>
            <w:pPr>
              <w:pStyle w:val="Normal"/>
              <w:ind w:end="-1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5258" w:type="dxa"/>
            <w:tcBorders/>
          </w:tcPr>
          <w:p>
            <w:pPr>
              <w:pStyle w:val="Normal"/>
              <w:ind w:end="-1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консультант отдела организационно – аналитической работы и контроля </w:t>
            </w:r>
          </w:p>
          <w:p>
            <w:pPr>
              <w:pStyle w:val="Normal"/>
              <w:ind w:end="-1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управления молодежной политики мэрии города Новосибирска, секретарь комиссии.</w:t>
            </w:r>
          </w:p>
        </w:tc>
      </w:tr>
    </w:tbl>
    <w:p>
      <w:pPr>
        <w:pStyle w:val="Normal"/>
        <w:jc w:val="both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Члены комиссии:</w:t>
      </w:r>
    </w:p>
    <w:tbl>
      <w:tblPr>
        <w:tblW w:w="9837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4269"/>
        <w:gridCol w:w="310"/>
        <w:gridCol w:w="5258"/>
      </w:tblGrid>
      <w:tr>
        <w:trPr>
          <w:trHeight w:val="954" w:hRule="atLeast"/>
        </w:trPr>
        <w:tc>
          <w:tcPr>
            <w:tcW w:w="4269" w:type="dxa"/>
            <w:tcBorders/>
          </w:tcPr>
          <w:p>
            <w:pPr>
              <w:pStyle w:val="Normal"/>
              <w:ind w:end="-1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Бобрышев Вадим Владиславович </w:t>
            </w:r>
          </w:p>
        </w:tc>
        <w:tc>
          <w:tcPr>
            <w:tcW w:w="310" w:type="dxa"/>
            <w:tcBorders/>
          </w:tcPr>
          <w:p>
            <w:pPr>
              <w:pStyle w:val="Normal"/>
              <w:ind w:end="-1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5258" w:type="dxa"/>
            <w:tcBorders/>
          </w:tcPr>
          <w:p>
            <w:pPr>
              <w:pStyle w:val="Normal"/>
              <w:ind w:end="-1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заместитель начальника управления молодежной политики мэрии города Новосибирска - начальник отдела реализации молодежных программ и инновационных проектов;</w:t>
            </w:r>
          </w:p>
        </w:tc>
      </w:tr>
      <w:tr>
        <w:trPr>
          <w:trHeight w:val="2408" w:hRule="atLeast"/>
        </w:trPr>
        <w:tc>
          <w:tcPr>
            <w:tcW w:w="4269" w:type="dxa"/>
            <w:tcBorders/>
          </w:tcPr>
          <w:p>
            <w:pPr>
              <w:pStyle w:val="Normal"/>
              <w:ind w:end="-1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Логунова Анастасия Вячеславовна</w:t>
            </w:r>
          </w:p>
        </w:tc>
        <w:tc>
          <w:tcPr>
            <w:tcW w:w="310" w:type="dxa"/>
            <w:tcBorders/>
          </w:tcPr>
          <w:p>
            <w:pPr>
              <w:pStyle w:val="Normal"/>
              <w:ind w:end="-1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5258" w:type="dxa"/>
            <w:tcBorders/>
          </w:tcPr>
          <w:p>
            <w:pPr>
              <w:pStyle w:val="Normal"/>
              <w:ind w:end="-1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заместитель начальника отдела планирования и экономического анализа деятельности учреждений муниципального казенного учреждения города Новосибирска «Проектная дирекция департамента культуры, спорта и молодежной политики мэрии города Новосибирска»;</w:t>
            </w:r>
          </w:p>
        </w:tc>
      </w:tr>
      <w:tr>
        <w:trPr>
          <w:trHeight w:val="1266" w:hRule="atLeast"/>
        </w:trPr>
        <w:tc>
          <w:tcPr>
            <w:tcW w:w="4269" w:type="dxa"/>
            <w:tcBorders/>
          </w:tcPr>
          <w:p>
            <w:pPr>
              <w:pStyle w:val="Normal"/>
              <w:ind w:end="-1"/>
              <w:rPr>
                <w:sz w:val="27"/>
                <w:szCs w:val="27"/>
              </w:rPr>
            </w:pPr>
            <w:r>
              <w:rPr>
                <w:rFonts w:eastAsia="Calibri"/>
                <w:sz w:val="26"/>
                <w:szCs w:val="26"/>
              </w:rPr>
              <w:t>Перевалова Евгения Леонидовна</w:t>
            </w:r>
          </w:p>
        </w:tc>
        <w:tc>
          <w:tcPr>
            <w:tcW w:w="310" w:type="dxa"/>
            <w:tcBorders/>
          </w:tcPr>
          <w:p>
            <w:pPr>
              <w:pStyle w:val="Normal"/>
              <w:ind w:end="-1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5258" w:type="dxa"/>
            <w:tcBorders/>
          </w:tcPr>
          <w:p>
            <w:pPr>
              <w:pStyle w:val="Normal"/>
              <w:ind w:end="-1"/>
              <w:jc w:val="both"/>
              <w:rPr>
                <w:sz w:val="27"/>
                <w:szCs w:val="27"/>
              </w:rPr>
            </w:pPr>
            <w:r>
              <w:rPr>
                <w:rFonts w:eastAsia="Calibri"/>
                <w:sz w:val="26"/>
                <w:szCs w:val="26"/>
              </w:rPr>
              <w:t>консультант юридического отдела департамента культуры, спорта и молодежной политики мэрии города Новосибирска;</w:t>
            </w:r>
          </w:p>
        </w:tc>
      </w:tr>
      <w:tr>
        <w:trPr>
          <w:trHeight w:val="1084" w:hRule="atLeast"/>
        </w:trPr>
        <w:tc>
          <w:tcPr>
            <w:tcW w:w="4269" w:type="dxa"/>
            <w:tcBorders/>
          </w:tcPr>
          <w:p>
            <w:pPr>
              <w:pStyle w:val="Normal"/>
              <w:ind w:end="-1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Рябыкина Ирина Владимировна</w:t>
            </w:r>
          </w:p>
        </w:tc>
        <w:tc>
          <w:tcPr>
            <w:tcW w:w="310" w:type="dxa"/>
            <w:tcBorders/>
          </w:tcPr>
          <w:p>
            <w:pPr>
              <w:pStyle w:val="Normal"/>
              <w:ind w:end="-1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5258" w:type="dxa"/>
            <w:tcBorders/>
          </w:tcPr>
          <w:p>
            <w:pPr>
              <w:pStyle w:val="Normal"/>
              <w:ind w:hanging="9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консультант отдела инвентаризации и учета имущества управления муниципального имущества мэрии города Новосибирска;</w:t>
            </w:r>
            <w:r>
              <w:rPr>
                <w:sz w:val="27"/>
                <w:szCs w:val="27"/>
                <w:highlight w:val="yellow"/>
              </w:rPr>
              <w:t xml:space="preserve"> </w:t>
            </w:r>
          </w:p>
        </w:tc>
      </w:tr>
      <w:tr>
        <w:trPr>
          <w:trHeight w:val="1411" w:hRule="atLeast"/>
        </w:trPr>
        <w:tc>
          <w:tcPr>
            <w:tcW w:w="4269" w:type="dxa"/>
            <w:tcBorders/>
          </w:tcPr>
          <w:p>
            <w:pPr>
              <w:pStyle w:val="Normal"/>
              <w:ind w:end="-1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Устюжанина Ольга Викторовна</w:t>
            </w:r>
          </w:p>
        </w:tc>
        <w:tc>
          <w:tcPr>
            <w:tcW w:w="310" w:type="dxa"/>
            <w:tcBorders/>
          </w:tcPr>
          <w:p>
            <w:pPr>
              <w:pStyle w:val="Normal"/>
              <w:ind w:end="-1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5258" w:type="dxa"/>
            <w:tcBorders/>
          </w:tcPr>
          <w:p>
            <w:pPr>
              <w:pStyle w:val="Normal"/>
              <w:ind w:end="-1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консультант отдела по управлению имуществом муниципальных учреждений и предприятий управления муниципального имущества мэрии города Новосибирска. </w:t>
            </w:r>
          </w:p>
        </w:tc>
      </w:tr>
    </w:tbl>
    <w:p>
      <w:pPr>
        <w:pStyle w:val="Normal"/>
        <w:jc w:val="both"/>
        <w:rPr>
          <w:rFonts w:eastAsia="Calibri" w:eastAsiaTheme="minorHAnsi"/>
          <w:b/>
          <w:bCs/>
          <w:sz w:val="27"/>
          <w:szCs w:val="27"/>
          <w:lang w:eastAsia="en-US"/>
        </w:rPr>
      </w:pPr>
      <w:r>
        <w:rPr>
          <w:rFonts w:eastAsia="Calibri" w:eastAsiaTheme="minorHAnsi"/>
          <w:b/>
          <w:bCs/>
          <w:sz w:val="27"/>
          <w:szCs w:val="27"/>
          <w:lang w:eastAsia="en-US"/>
        </w:rPr>
      </w:r>
    </w:p>
    <w:p>
      <w:pPr>
        <w:pStyle w:val="Normal"/>
        <w:jc w:val="both"/>
        <w:rPr>
          <w:rFonts w:eastAsia="Calibri" w:eastAsiaTheme="minorHAnsi"/>
          <w:sz w:val="27"/>
          <w:szCs w:val="27"/>
          <w:lang w:eastAsia="en-US"/>
        </w:rPr>
      </w:pPr>
      <w:r>
        <w:rPr>
          <w:rFonts w:eastAsia="Calibri" w:eastAsiaTheme="minorHAnsi"/>
          <w:sz w:val="27"/>
          <w:szCs w:val="27"/>
          <w:lang w:eastAsia="en-US"/>
        </w:rPr>
        <w:t>Комиссия на основании поступившего заявления и представленных документов (вх. № 14/01/01892 от 24.08.2026) провела оценку последствий принятия решения о предоставлении</w:t>
      </w:r>
      <w:r>
        <w:rPr>
          <w:b/>
          <w:bCs/>
          <w:sz w:val="27"/>
          <w:szCs w:val="27"/>
        </w:rPr>
        <w:t xml:space="preserve"> </w:t>
      </w:r>
      <w:r>
        <w:rPr>
          <w:rFonts w:eastAsia="Calibri" w:eastAsiaTheme="minorHAnsi"/>
          <w:sz w:val="27"/>
          <w:szCs w:val="27"/>
          <w:lang w:eastAsia="en-US"/>
        </w:rPr>
        <w:t xml:space="preserve">объекта социальной инфраструктуры для детей, закрепленного за муниципальным бюджетным учреждением Центр «Молодёжный» Кировского района города Новосибирска </w:t>
      </w:r>
      <w:r>
        <w:rPr>
          <w:sz w:val="27"/>
          <w:szCs w:val="27"/>
        </w:rPr>
        <w:t xml:space="preserve">(далее – </w:t>
      </w:r>
      <w:bookmarkStart w:id="0" w:name="_Hlk188264194"/>
      <w:r>
        <w:rPr>
          <w:sz w:val="27"/>
          <w:szCs w:val="27"/>
        </w:rPr>
        <w:t xml:space="preserve">МБУ </w:t>
      </w:r>
      <w:bookmarkEnd w:id="0"/>
      <w:r>
        <w:rPr>
          <w:sz w:val="27"/>
          <w:szCs w:val="27"/>
        </w:rPr>
        <w:t>«Центр «Молодёжный»)</w:t>
      </w:r>
      <w:r>
        <w:rPr>
          <w:rFonts w:eastAsia="Calibri" w:eastAsiaTheme="minorHAnsi"/>
          <w:sz w:val="27"/>
          <w:szCs w:val="27"/>
          <w:lang w:eastAsia="en-US"/>
        </w:rPr>
        <w:t xml:space="preserve"> в аренду.</w:t>
      </w:r>
    </w:p>
    <w:p>
      <w:pPr>
        <w:pStyle w:val="Normal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</w:r>
    </w:p>
    <w:p>
      <w:pPr>
        <w:pStyle w:val="Normal"/>
        <w:jc w:val="both"/>
        <w:rPr>
          <w:sz w:val="27"/>
          <w:szCs w:val="27"/>
        </w:rPr>
      </w:pPr>
      <w:r>
        <w:rPr>
          <w:b/>
          <w:bCs/>
          <w:sz w:val="27"/>
          <w:szCs w:val="27"/>
        </w:rPr>
        <w:t xml:space="preserve">Объект социальной инфраструктуры: </w:t>
      </w:r>
      <w:r>
        <w:rPr>
          <w:sz w:val="27"/>
          <w:szCs w:val="27"/>
        </w:rPr>
        <w:t>помещение площадью 47,1 кв.м. на 1 этаже, по адресу: г. Новосибирск, ул. Зорге, 269.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jc w:val="both"/>
        <w:rPr>
          <w:rFonts w:eastAsia="Times New Roman"/>
          <w:b/>
          <w:sz w:val="27"/>
          <w:szCs w:val="27"/>
        </w:rPr>
      </w:pPr>
      <w:r>
        <w:rPr>
          <w:b/>
          <w:bCs/>
          <w:sz w:val="27"/>
          <w:szCs w:val="27"/>
        </w:rPr>
        <w:t xml:space="preserve">Цель предоставления объекта в аренду: </w:t>
      </w:r>
      <w:r>
        <w:rPr>
          <w:rFonts w:eastAsia="Times New Roman"/>
          <w:sz w:val="27"/>
          <w:szCs w:val="27"/>
        </w:rPr>
        <w:t>спортивная секция для занятий с детьми по карате.</w:t>
      </w:r>
    </w:p>
    <w:p>
      <w:pPr>
        <w:pStyle w:val="Normal"/>
        <w:jc w:val="both"/>
        <w:rPr>
          <w:rFonts w:eastAsia="Times New Roman"/>
          <w:b/>
          <w:sz w:val="27"/>
          <w:szCs w:val="27"/>
        </w:rPr>
      </w:pPr>
      <w:r>
        <w:rPr>
          <w:rFonts w:eastAsia="Times New Roman"/>
          <w:b/>
          <w:sz w:val="27"/>
          <w:szCs w:val="27"/>
        </w:rPr>
      </w:r>
    </w:p>
    <w:p>
      <w:pPr>
        <w:pStyle w:val="Normal"/>
        <w:jc w:val="both"/>
        <w:rPr>
          <w:bCs/>
          <w:sz w:val="27"/>
          <w:szCs w:val="27"/>
        </w:rPr>
      </w:pPr>
      <w:r>
        <w:rPr>
          <w:b/>
          <w:sz w:val="27"/>
          <w:szCs w:val="27"/>
        </w:rPr>
        <w:t>Наименование другой стороны договора</w:t>
      </w:r>
      <w:r>
        <w:rPr>
          <w:bCs/>
          <w:sz w:val="27"/>
          <w:szCs w:val="27"/>
        </w:rPr>
        <w:t>: Новосибирская Региональная общественная молодёжная физкультурно-спортивная организация «Академия единоборств» (далее – НРОМФСО «Академия единоборств»).</w:t>
      </w:r>
    </w:p>
    <w:p>
      <w:pPr>
        <w:pStyle w:val="Normal"/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</w:r>
    </w:p>
    <w:p>
      <w:pPr>
        <w:pStyle w:val="Normal"/>
        <w:jc w:val="both"/>
        <w:rPr>
          <w:rFonts w:eastAsia="Times New Roman"/>
          <w:i/>
          <w:iCs/>
          <w:sz w:val="27"/>
          <w:szCs w:val="27"/>
        </w:rPr>
      </w:pPr>
      <w:r>
        <w:rPr>
          <w:b/>
          <w:sz w:val="27"/>
          <w:szCs w:val="27"/>
        </w:rPr>
        <w:t xml:space="preserve">Срок предоставления объекта в аренду: </w:t>
      </w:r>
      <w:r>
        <w:rPr>
          <w:sz w:val="27"/>
          <w:szCs w:val="27"/>
        </w:rPr>
        <w:t>с 01.10.2026 г. по 31.05.2027 г.</w:t>
      </w:r>
    </w:p>
    <w:p>
      <w:pPr>
        <w:pStyle w:val="Normal"/>
        <w:jc w:val="center"/>
        <w:rPr>
          <w:b/>
          <w:bCs/>
          <w:i/>
          <w:iCs/>
          <w:sz w:val="27"/>
          <w:szCs w:val="27"/>
        </w:rPr>
      </w:pPr>
      <w:r>
        <w:rPr>
          <w:rFonts w:eastAsia="Calibri"/>
          <w:i/>
          <w:iCs/>
          <w:sz w:val="27"/>
          <w:szCs w:val="27"/>
          <w:lang w:eastAsia="en-US"/>
        </w:rPr>
        <w:t xml:space="preserve">                                                    </w:t>
      </w:r>
    </w:p>
    <w:p>
      <w:pPr>
        <w:pStyle w:val="Normal"/>
        <w:jc w:val="both"/>
        <w:rPr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Время использования объекта аренды: </w:t>
      </w:r>
      <w:r>
        <w:rPr>
          <w:sz w:val="27"/>
          <w:szCs w:val="27"/>
        </w:rPr>
        <w:t>согласно расписанию, понедельник, среда, пятница с 18.00 до 19.00.</w:t>
      </w:r>
    </w:p>
    <w:p>
      <w:pPr>
        <w:pStyle w:val="Normal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</w:r>
    </w:p>
    <w:p>
      <w:pPr>
        <w:pStyle w:val="Normal"/>
        <w:jc w:val="both"/>
        <w:rPr>
          <w:bCs/>
          <w:i/>
          <w:iCs/>
          <w:sz w:val="27"/>
          <w:szCs w:val="27"/>
        </w:rPr>
      </w:pPr>
      <w:r>
        <w:rPr>
          <w:b/>
          <w:bCs/>
          <w:sz w:val="27"/>
          <w:szCs w:val="27"/>
        </w:rPr>
        <w:t xml:space="preserve">Департамент культуры спорта и молодежной политики мэрии </w:t>
      </w:r>
      <w:r>
        <w:rPr>
          <w:iCs/>
          <w:sz w:val="27"/>
          <w:szCs w:val="27"/>
        </w:rPr>
        <w:t xml:space="preserve">полагает возможным предоставление </w:t>
      </w:r>
      <w:r>
        <w:rPr>
          <w:sz w:val="27"/>
          <w:szCs w:val="27"/>
        </w:rPr>
        <w:t xml:space="preserve">МБУ «Центр «Молодёжный» </w:t>
      </w:r>
      <w:r>
        <w:rPr>
          <w:iCs/>
          <w:sz w:val="27"/>
          <w:szCs w:val="27"/>
        </w:rPr>
        <w:t xml:space="preserve">объекта в аренду </w:t>
      </w:r>
      <w:r>
        <w:rPr>
          <w:bCs/>
          <w:sz w:val="27"/>
          <w:szCs w:val="27"/>
        </w:rPr>
        <w:t>НРОМФСО «Академия единоборств»</w:t>
      </w:r>
      <w:r>
        <w:rPr>
          <w:bCs/>
          <w:iCs/>
          <w:sz w:val="27"/>
          <w:szCs w:val="27"/>
        </w:rPr>
        <w:t xml:space="preserve">, </w:t>
      </w:r>
      <w:r>
        <w:rPr>
          <w:iCs/>
          <w:sz w:val="27"/>
          <w:szCs w:val="27"/>
        </w:rPr>
        <w:t xml:space="preserve">так как передача объекта </w:t>
      </w:r>
      <w:r>
        <w:rPr>
          <w:bCs/>
          <w:iCs/>
          <w:sz w:val="27"/>
          <w:szCs w:val="27"/>
        </w:rPr>
        <w:t xml:space="preserve">не будет оказывать отрицательного влияния на качество оказания услуг (осуществления работ) детям и не приведет к ухудшению условий обеспечения жизнедеятельности, образования, развития, отдыха и оздоровления детей при осуществлении деятельности, предмет и цели которой определены уставом учреждения и </w:t>
      </w:r>
      <w:r>
        <w:rPr>
          <w:sz w:val="27"/>
          <w:szCs w:val="27"/>
        </w:rPr>
        <w:t>привлечет дополнительные средства в бюджет учреждения, что позволит в более полном объеме выполнять уставные цели и задачи.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По заключению членов комиссии критерии, утвержденные </w:t>
      </w:r>
      <w:r>
        <w:rPr>
          <w:rFonts w:eastAsia="Calibri" w:eastAsiaTheme="minorHAnsi"/>
          <w:sz w:val="27"/>
          <w:szCs w:val="27"/>
          <w:lang w:eastAsia="en-US"/>
        </w:rPr>
        <w:t xml:space="preserve">постановлением мэрии города Новосибирска от 05.11.2024 № 9199 </w:t>
      </w:r>
      <w:r>
        <w:rPr>
          <w:sz w:val="27"/>
          <w:szCs w:val="27"/>
        </w:rPr>
        <w:t>имеют следующие значения:</w:t>
      </w:r>
    </w:p>
    <w:p>
      <w:pPr>
        <w:pStyle w:val="Normal"/>
        <w:rPr>
          <w:rFonts w:eastAsia="Calibri" w:eastAsiaTheme="minorHAnsi"/>
          <w:b/>
          <w:bCs/>
          <w:sz w:val="27"/>
          <w:szCs w:val="27"/>
          <w:lang w:eastAsia="en-US"/>
        </w:rPr>
      </w:pPr>
      <w:r>
        <w:rPr>
          <w:rFonts w:eastAsia="Calibri" w:eastAsiaTheme="minorHAnsi"/>
          <w:b/>
          <w:bCs/>
          <w:sz w:val="27"/>
          <w:szCs w:val="27"/>
          <w:lang w:eastAsia="en-US"/>
        </w:rPr>
      </w:r>
    </w:p>
    <w:tbl>
      <w:tblPr>
        <w:tblStyle w:val="a5"/>
        <w:tblW w:w="9803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596"/>
        <w:gridCol w:w="7096"/>
        <w:gridCol w:w="2111"/>
      </w:tblGrid>
      <w:tr>
        <w:trPr/>
        <w:tc>
          <w:tcPr>
            <w:tcW w:w="59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Calibri" w:eastAsiaTheme="minorHAnsi"/>
                <w:b/>
                <w:bCs/>
                <w:sz w:val="27"/>
                <w:szCs w:val="27"/>
                <w:lang w:eastAsia="en-US"/>
              </w:rPr>
            </w:pPr>
            <w:r>
              <w:rPr>
                <w:rFonts w:eastAsia="Calibri" w:eastAsiaTheme="minorHAnsi"/>
                <w:kern w:val="0"/>
                <w:sz w:val="27"/>
                <w:szCs w:val="27"/>
                <w:lang w:val="ru-RU" w:eastAsia="en-US" w:bidi="ar-SA"/>
              </w:rPr>
              <w:t xml:space="preserve">№ </w:t>
            </w:r>
            <w:r>
              <w:rPr>
                <w:rFonts w:eastAsia="Calibri" w:eastAsiaTheme="minorHAnsi"/>
                <w:kern w:val="0"/>
                <w:sz w:val="27"/>
                <w:szCs w:val="27"/>
                <w:lang w:val="ru-RU" w:eastAsia="en-US" w:bidi="ar-SA"/>
              </w:rPr>
              <w:t>п/п</w:t>
            </w:r>
          </w:p>
        </w:tc>
        <w:tc>
          <w:tcPr>
            <w:tcW w:w="709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Calibri" w:eastAsiaTheme="minorHAnsi"/>
                <w:b/>
                <w:bCs/>
                <w:sz w:val="27"/>
                <w:szCs w:val="27"/>
                <w:lang w:eastAsia="en-US"/>
              </w:rPr>
            </w:pPr>
            <w:r>
              <w:rPr>
                <w:rFonts w:eastAsia="Calibri" w:eastAsiaTheme="minorHAnsi"/>
                <w:kern w:val="0"/>
                <w:sz w:val="27"/>
                <w:szCs w:val="27"/>
                <w:lang w:val="ru-RU" w:eastAsia="en-US" w:bidi="ar-SA"/>
              </w:rPr>
              <w:t>Критерий</w:t>
            </w:r>
          </w:p>
        </w:tc>
        <w:tc>
          <w:tcPr>
            <w:tcW w:w="211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Calibri" w:eastAsiaTheme="minorHAnsi"/>
                <w:b/>
                <w:bCs/>
                <w:sz w:val="27"/>
                <w:szCs w:val="27"/>
                <w:lang w:eastAsia="en-US"/>
              </w:rPr>
            </w:pPr>
            <w:r>
              <w:rPr>
                <w:rFonts w:eastAsia="Calibri" w:eastAsiaTheme="minorHAnsi"/>
                <w:kern w:val="0"/>
                <w:sz w:val="27"/>
                <w:szCs w:val="27"/>
                <w:lang w:val="ru-RU" w:eastAsia="en-US" w:bidi="ar-SA"/>
              </w:rPr>
              <w:t>Значение</w:t>
            </w:r>
          </w:p>
        </w:tc>
      </w:tr>
      <w:tr>
        <w:trPr/>
        <w:tc>
          <w:tcPr>
            <w:tcW w:w="59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Calibri" w:eastAsiaTheme="minorHAnsi"/>
                <w:bCs/>
                <w:sz w:val="27"/>
                <w:szCs w:val="27"/>
                <w:lang w:eastAsia="en-US"/>
              </w:rPr>
            </w:pPr>
            <w:r>
              <w:rPr>
                <w:rFonts w:eastAsia="Calibri" w:eastAsiaTheme="minorHAnsi"/>
                <w:bCs/>
                <w:kern w:val="0"/>
                <w:sz w:val="27"/>
                <w:szCs w:val="27"/>
                <w:lang w:val="ru-RU" w:eastAsia="en-US" w:bidi="ar-SA"/>
              </w:rPr>
              <w:t>1</w:t>
            </w:r>
          </w:p>
        </w:tc>
        <w:tc>
          <w:tcPr>
            <w:tcW w:w="709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Calibri" w:eastAsiaTheme="minorHAnsi"/>
                <w:sz w:val="27"/>
                <w:szCs w:val="27"/>
                <w:lang w:eastAsia="en-US"/>
              </w:rPr>
            </w:pPr>
            <w:r>
              <w:rPr>
                <w:rFonts w:eastAsia="Calibri" w:eastAsiaTheme="minorHAnsi"/>
                <w:kern w:val="0"/>
                <w:sz w:val="27"/>
                <w:szCs w:val="27"/>
                <w:lang w:val="ru-RU" w:eastAsia="en-US" w:bidi="ar-SA"/>
              </w:rPr>
              <w:t>2</w:t>
            </w:r>
          </w:p>
        </w:tc>
        <w:tc>
          <w:tcPr>
            <w:tcW w:w="211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Calibri" w:eastAsiaTheme="minorHAnsi"/>
                <w:bCs/>
                <w:sz w:val="27"/>
                <w:szCs w:val="27"/>
                <w:lang w:eastAsia="en-US"/>
              </w:rPr>
            </w:pPr>
            <w:r>
              <w:rPr>
                <w:rFonts w:eastAsia="Calibri" w:eastAsiaTheme="minorHAnsi"/>
                <w:bCs/>
                <w:kern w:val="0"/>
                <w:sz w:val="27"/>
                <w:szCs w:val="27"/>
                <w:lang w:val="ru-RU" w:eastAsia="en-US" w:bidi="ar-SA"/>
              </w:rPr>
              <w:t>3</w:t>
            </w:r>
          </w:p>
        </w:tc>
      </w:tr>
      <w:tr>
        <w:trPr/>
        <w:tc>
          <w:tcPr>
            <w:tcW w:w="59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Calibri" w:eastAsiaTheme="minorHAnsi"/>
                <w:bCs/>
                <w:sz w:val="27"/>
                <w:szCs w:val="27"/>
                <w:lang w:eastAsia="en-US"/>
              </w:rPr>
            </w:pPr>
            <w:r>
              <w:rPr>
                <w:rFonts w:eastAsia="Calibri" w:eastAsiaTheme="minorHAnsi"/>
                <w:bCs/>
                <w:kern w:val="0"/>
                <w:sz w:val="27"/>
                <w:szCs w:val="27"/>
                <w:lang w:val="ru-RU" w:eastAsia="en-US" w:bidi="ar-SA"/>
              </w:rPr>
              <w:t>1 </w:t>
            </w:r>
          </w:p>
        </w:tc>
        <w:tc>
          <w:tcPr>
            <w:tcW w:w="7096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eastAsia="Calibri" w:eastAsiaTheme="minorHAnsi"/>
                <w:sz w:val="27"/>
                <w:szCs w:val="27"/>
                <w:lang w:eastAsia="en-US"/>
              </w:rPr>
            </w:pPr>
            <w:r>
              <w:rPr>
                <w:rFonts w:eastAsia="Calibri" w:eastAsiaTheme="minorHAnsi"/>
                <w:kern w:val="0"/>
                <w:sz w:val="27"/>
                <w:szCs w:val="27"/>
                <w:lang w:val="ru-RU" w:eastAsia="en-US" w:bidi="ar-SA"/>
              </w:rPr>
              <w:t>Обеспечение продолжения оказания социальных услуг детям в целях обеспечения жизнедеятельности, образования, развития, отдыха и оздоровления детей, оказания им медицинской помощи, профилактики заболеваний у детей, их социальной защиты и социального обслуживания, предоставляемых с использованием объекта социальной инфраструктуры, предлагаемого к реконструкции, модернизации, изменению назначения или ликвидации, а также к передаче его в аренду, безвозмездное пользование</w:t>
            </w:r>
          </w:p>
        </w:tc>
        <w:tc>
          <w:tcPr>
            <w:tcW w:w="211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Cs/>
                <w:sz w:val="27"/>
                <w:szCs w:val="27"/>
              </w:rPr>
            </w:pPr>
            <w:r>
              <w:rPr>
                <w:bCs/>
                <w:kern w:val="0"/>
                <w:sz w:val="27"/>
                <w:szCs w:val="27"/>
                <w:lang w:val="ru-RU" w:bidi="ar-SA"/>
              </w:rPr>
              <w:t>Обеспечено</w:t>
            </w:r>
          </w:p>
        </w:tc>
      </w:tr>
      <w:tr>
        <w:trPr/>
        <w:tc>
          <w:tcPr>
            <w:tcW w:w="59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Calibri" w:eastAsiaTheme="minorHAnsi"/>
                <w:bCs/>
                <w:sz w:val="27"/>
                <w:szCs w:val="27"/>
                <w:lang w:eastAsia="en-US"/>
              </w:rPr>
            </w:pPr>
            <w:r>
              <w:rPr>
                <w:rFonts w:eastAsia="Calibri" w:eastAsiaTheme="minorHAnsi"/>
                <w:kern w:val="0"/>
                <w:sz w:val="27"/>
                <w:szCs w:val="27"/>
                <w:lang w:val="ru-RU" w:eastAsia="en-US" w:bidi="ar-SA"/>
              </w:rPr>
              <w:t>2</w:t>
            </w:r>
          </w:p>
        </w:tc>
        <w:tc>
          <w:tcPr>
            <w:tcW w:w="7096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eastAsia="Calibri" w:eastAsiaTheme="minorHAnsi"/>
                <w:sz w:val="27"/>
                <w:szCs w:val="27"/>
                <w:lang w:eastAsia="en-US"/>
              </w:rPr>
            </w:pPr>
            <w:r>
              <w:rPr>
                <w:rFonts w:eastAsia="Calibri" w:eastAsiaTheme="minorHAnsi"/>
                <w:kern w:val="0"/>
                <w:sz w:val="27"/>
                <w:szCs w:val="27"/>
                <w:lang w:val="ru-RU" w:eastAsia="en-US" w:bidi="ar-SA"/>
              </w:rPr>
              <w:t>Обеспечение оказания услуг детям в целях обеспечения жизнедеятельности, образования, развития, отдыха и оздоровления детей, оказания им медицинской помощи, профилактики заболеваний у детей, их социальной защиты и социального обслуживания в объеме не менее чем объем таких услуг, предоставляемых с использованием объекта социальной инфраструктуры, предлагаемого к реконструкции, модернизации, изменению назначения или ликвидации, а также к передаче в аренду, безвозмездное пользование, до принятия решения о реконструкции, модернизации, об изменении назначения или о ликвидации объекта социальной инфраструктуры, заключении государственной или муниципальной организацией, образующей социальную инфраструктуру для детей, договора аренды, договора безвозмездного пользования закрепленных за ней объектов собственности</w:t>
            </w:r>
          </w:p>
        </w:tc>
        <w:tc>
          <w:tcPr>
            <w:tcW w:w="211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Calibri" w:eastAsiaTheme="minorHAnsi"/>
                <w:sz w:val="27"/>
                <w:szCs w:val="27"/>
                <w:lang w:eastAsia="en-US"/>
              </w:rPr>
            </w:pPr>
            <w:r>
              <w:rPr>
                <w:rFonts w:eastAsia="Calibri" w:eastAsiaTheme="minorHAnsi"/>
                <w:kern w:val="0"/>
                <w:sz w:val="27"/>
                <w:szCs w:val="27"/>
                <w:lang w:val="ru-RU" w:eastAsia="en-US" w:bidi="ar-SA"/>
              </w:rPr>
              <w:t>Обеспечено</w:t>
            </w:r>
          </w:p>
        </w:tc>
      </w:tr>
    </w:tbl>
    <w:p>
      <w:pPr>
        <w:pStyle w:val="Normal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>Оценив последствия принятия решения о предоставлении МБУ «Центр «Молодёжный» вышеуказанного объекта в аренду по указанным критериям, комиссия приняла положительное заключение.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jc w:val="both"/>
        <w:rPr>
          <w:sz w:val="27"/>
          <w:szCs w:val="27"/>
        </w:rPr>
      </w:pPr>
      <w:r>
        <w:rPr>
          <w:rFonts w:eastAsia="Times New Roman"/>
          <w:bCs/>
          <w:iCs/>
          <w:sz w:val="27"/>
          <w:szCs w:val="27"/>
        </w:rPr>
        <w:t>При заключении дополнительного соглашения к указанному договору получение з</w:t>
      </w:r>
      <w:r>
        <w:rPr>
          <w:rFonts w:eastAsia="Times New Roman"/>
          <w:bCs/>
          <w:sz w:val="27"/>
          <w:szCs w:val="27"/>
        </w:rPr>
        <w:t>аключения комиссии об оценке последствий принятия решения об использовании объекта социальной инфраструктуры не требуется.</w:t>
      </w:r>
    </w:p>
    <w:p>
      <w:pPr>
        <w:pStyle w:val="Normal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</w:r>
    </w:p>
    <w:p>
      <w:pPr>
        <w:pStyle w:val="Normal"/>
        <w:spacing w:lineRule="auto" w:line="276" w:before="0" w:after="120"/>
        <w:rPr>
          <w:b/>
          <w:sz w:val="27"/>
          <w:szCs w:val="27"/>
        </w:rPr>
      </w:pPr>
      <w:r>
        <w:rPr>
          <w:b/>
          <w:sz w:val="27"/>
          <w:szCs w:val="27"/>
        </w:rPr>
        <w:t>Подписи членов комиссии:</w:t>
      </w:r>
    </w:p>
    <w:p>
      <w:pPr>
        <w:pStyle w:val="Normal"/>
        <w:tabs>
          <w:tab w:val="clear" w:pos="708"/>
          <w:tab w:val="left" w:pos="4820" w:leader="none"/>
          <w:tab w:val="left" w:pos="7655" w:leader="none"/>
        </w:tabs>
        <w:spacing w:lineRule="auto" w:line="276" w:before="0" w:after="120"/>
        <w:rPr>
          <w:bCs/>
          <w:sz w:val="27"/>
          <w:szCs w:val="27"/>
        </w:rPr>
      </w:pPr>
      <w:r>
        <w:rPr>
          <w:bCs/>
          <w:sz w:val="27"/>
          <w:szCs w:val="27"/>
        </w:rPr>
        <w:t>Председатель комиссии: Е. Ю. Твердохлебов</w:t>
      </w:r>
    </w:p>
    <w:p>
      <w:pPr>
        <w:pStyle w:val="Normal"/>
        <w:tabs>
          <w:tab w:val="clear" w:pos="708"/>
          <w:tab w:val="left" w:pos="4820" w:leader="none"/>
          <w:tab w:val="left" w:pos="7655" w:leader="none"/>
        </w:tabs>
        <w:spacing w:lineRule="auto" w:line="276" w:before="0" w:after="120"/>
        <w:rPr>
          <w:bCs/>
          <w:sz w:val="27"/>
          <w:szCs w:val="27"/>
        </w:rPr>
      </w:pPr>
      <w:r>
        <w:rPr>
          <w:bCs/>
          <w:sz w:val="27"/>
          <w:szCs w:val="27"/>
        </w:rPr>
        <w:t>Заместитель председателя комиссии: Д. А. Тюганов</w:t>
      </w:r>
    </w:p>
    <w:p>
      <w:pPr>
        <w:pStyle w:val="Normal"/>
        <w:tabs>
          <w:tab w:val="clear" w:pos="708"/>
          <w:tab w:val="left" w:pos="4820" w:leader="none"/>
          <w:tab w:val="left" w:pos="7655" w:leader="none"/>
        </w:tabs>
        <w:spacing w:lineRule="auto" w:line="276" w:before="0" w:after="120"/>
        <w:rPr>
          <w:bCs/>
          <w:sz w:val="27"/>
          <w:szCs w:val="27"/>
        </w:rPr>
      </w:pPr>
      <w:r>
        <w:rPr>
          <w:bCs/>
          <w:sz w:val="27"/>
          <w:szCs w:val="27"/>
        </w:rPr>
        <w:t>Секретарь комиссии: Е. Н. Коптяева</w:t>
      </w:r>
    </w:p>
    <w:p>
      <w:pPr>
        <w:pStyle w:val="Normal"/>
        <w:tabs>
          <w:tab w:val="clear" w:pos="708"/>
          <w:tab w:val="left" w:pos="4820" w:leader="none"/>
          <w:tab w:val="left" w:pos="7655" w:leader="none"/>
        </w:tabs>
        <w:spacing w:lineRule="auto" w:line="276" w:before="0" w:after="120"/>
        <w:rPr>
          <w:bCs/>
          <w:sz w:val="27"/>
          <w:szCs w:val="27"/>
        </w:rPr>
      </w:pPr>
      <w:r>
        <w:rPr>
          <w:bCs/>
          <w:sz w:val="27"/>
          <w:szCs w:val="27"/>
        </w:rPr>
        <w:t>Члены комиссии: В. В. Бобрышев</w:t>
      </w:r>
    </w:p>
    <w:p>
      <w:pPr>
        <w:pStyle w:val="Normal"/>
        <w:tabs>
          <w:tab w:val="clear" w:pos="708"/>
          <w:tab w:val="left" w:pos="4820" w:leader="none"/>
          <w:tab w:val="left" w:pos="7655" w:leader="none"/>
        </w:tabs>
        <w:spacing w:lineRule="auto" w:line="276" w:before="0" w:after="120"/>
        <w:rPr>
          <w:bCs/>
          <w:sz w:val="27"/>
          <w:szCs w:val="27"/>
        </w:rPr>
      </w:pPr>
      <w:r>
        <w:rPr>
          <w:bCs/>
          <w:sz w:val="27"/>
          <w:szCs w:val="27"/>
        </w:rPr>
        <w:t xml:space="preserve">                              </w:t>
      </w:r>
      <w:r>
        <w:rPr>
          <w:bCs/>
          <w:sz w:val="27"/>
          <w:szCs w:val="27"/>
        </w:rPr>
        <w:t>А. В. Логунова</w:t>
      </w:r>
    </w:p>
    <w:p>
      <w:pPr>
        <w:pStyle w:val="Normal"/>
        <w:tabs>
          <w:tab w:val="clear" w:pos="708"/>
          <w:tab w:val="left" w:pos="4820" w:leader="none"/>
          <w:tab w:val="left" w:pos="7655" w:leader="none"/>
        </w:tabs>
        <w:spacing w:lineRule="auto" w:line="276" w:before="0" w:after="120"/>
        <w:rPr>
          <w:bCs/>
          <w:sz w:val="27"/>
          <w:szCs w:val="27"/>
        </w:rPr>
      </w:pPr>
      <w:r>
        <w:rPr>
          <w:bCs/>
          <w:sz w:val="27"/>
          <w:szCs w:val="27"/>
        </w:rPr>
        <w:t xml:space="preserve">                              </w:t>
      </w:r>
      <w:r>
        <w:rPr>
          <w:bCs/>
          <w:sz w:val="27"/>
          <w:szCs w:val="27"/>
        </w:rPr>
        <w:t>Е. Л. Перевалова</w:t>
      </w:r>
    </w:p>
    <w:p>
      <w:pPr>
        <w:pStyle w:val="Normal"/>
        <w:tabs>
          <w:tab w:val="clear" w:pos="708"/>
          <w:tab w:val="left" w:pos="4820" w:leader="none"/>
          <w:tab w:val="left" w:pos="7655" w:leader="none"/>
        </w:tabs>
        <w:spacing w:lineRule="auto" w:line="276" w:before="0" w:after="120"/>
        <w:rPr>
          <w:bCs/>
          <w:sz w:val="27"/>
          <w:szCs w:val="27"/>
        </w:rPr>
      </w:pPr>
      <w:r>
        <w:rPr>
          <w:bCs/>
          <w:sz w:val="27"/>
          <w:szCs w:val="27"/>
        </w:rPr>
        <w:t xml:space="preserve">                              </w:t>
      </w:r>
      <w:r>
        <w:rPr>
          <w:bCs/>
          <w:sz w:val="27"/>
          <w:szCs w:val="27"/>
        </w:rPr>
        <w:t>И. В. Рябыкина</w:t>
      </w:r>
    </w:p>
    <w:p>
      <w:pPr>
        <w:pStyle w:val="Normal"/>
        <w:tabs>
          <w:tab w:val="clear" w:pos="708"/>
          <w:tab w:val="left" w:pos="4820" w:leader="none"/>
          <w:tab w:val="left" w:pos="7655" w:leader="none"/>
        </w:tabs>
        <w:spacing w:lineRule="auto" w:line="276" w:before="0" w:after="120"/>
        <w:rPr>
          <w:bCs/>
          <w:sz w:val="27"/>
          <w:szCs w:val="27"/>
        </w:rPr>
      </w:pPr>
      <w:r>
        <w:rPr>
          <w:bCs/>
          <w:sz w:val="27"/>
          <w:szCs w:val="27"/>
        </w:rPr>
        <w:t xml:space="preserve">                              </w:t>
      </w:r>
      <w:r>
        <w:rPr>
          <w:sz w:val="27"/>
          <w:szCs w:val="27"/>
        </w:rPr>
        <w:t>О. В. Устюжанина</w:t>
      </w:r>
    </w:p>
    <w:p>
      <w:pPr>
        <w:pStyle w:val="Normal"/>
        <w:rPr>
          <w:sz w:val="27"/>
          <w:szCs w:val="27"/>
        </w:rPr>
      </w:pPr>
      <w:r>
        <w:rPr>
          <w:sz w:val="27"/>
          <w:szCs w:val="27"/>
        </w:rPr>
        <w:tab/>
        <w:tab/>
        <w:tab/>
        <w:tab/>
        <w:tab/>
        <w:tab/>
        <w:t xml:space="preserve">        </w:t>
      </w:r>
    </w:p>
    <w:p>
      <w:pPr>
        <w:pStyle w:val="Normal"/>
        <w:rPr>
          <w:sz w:val="27"/>
          <w:szCs w:val="27"/>
        </w:rPr>
      </w:pPr>
      <w:r>
        <w:rPr>
          <w:sz w:val="27"/>
          <w:szCs w:val="27"/>
        </w:rPr>
      </w:r>
    </w:p>
    <w:sectPr>
      <w:type w:val="nextPage"/>
      <w:pgSz w:w="11906" w:h="16838"/>
      <w:pgMar w:left="1418" w:right="567" w:gutter="0" w:header="0" w:top="1134" w:footer="0" w:bottom="28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</w:fonts>
</file>

<file path=word/settings.xml><?xml version="1.0" encoding="utf-8"?>
<w:settings xmlns:w="http://schemas.openxmlformats.org/wordprocessingml/2006/main">
  <w:zoom w:percent="8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a119e"/>
    <w:pPr>
      <w:widowControl/>
      <w:bidi w:val="0"/>
      <w:spacing w:lineRule="auto" w:line="240" w:before="0" w:after="0"/>
      <w:jc w:val="start"/>
    </w:pPr>
    <w:rPr>
      <w:rFonts w:ascii="Times New Roman" w:hAnsi="Times New Roman" w:eastAsia="" w:cs="Times New Roman" w:eastAsiaTheme="minorEastAsia"/>
      <w:color w:val="auto"/>
      <w:kern w:val="0"/>
      <w:sz w:val="20"/>
      <w:szCs w:val="20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c176ac"/>
    <w:rPr>
      <w:color w:themeColor="hyperlink" w:val="0563C1"/>
      <w:u w:val="single"/>
    </w:rPr>
  </w:style>
  <w:style w:type="character" w:styleId="1" w:customStyle="1">
    <w:name w:val="Неразрешенное упоминание1"/>
    <w:basedOn w:val="DefaultParagraphFont"/>
    <w:uiPriority w:val="99"/>
    <w:semiHidden/>
    <w:unhideWhenUsed/>
    <w:qFormat/>
    <w:rsid w:val="00c176ac"/>
    <w:rPr>
      <w:color w:val="605E5C"/>
      <w:shd w:fill="E1DFDD" w:val="clear"/>
    </w:rPr>
  </w:style>
  <w:style w:type="character" w:styleId="Style14" w:customStyle="1">
    <w:name w:val="Текст концевой сноски Знак"/>
    <w:basedOn w:val="DefaultParagraphFont"/>
    <w:uiPriority w:val="99"/>
    <w:semiHidden/>
    <w:qFormat/>
    <w:rsid w:val="00a90620"/>
    <w:rPr>
      <w:rFonts w:ascii="Times New Roman" w:hAnsi="Times New Roman" w:eastAsia="" w:cs="Times New Roman" w:eastAsiaTheme="minorEastAsia"/>
      <w:sz w:val="20"/>
      <w:szCs w:val="20"/>
      <w:lang w:eastAsia="ru-RU"/>
    </w:rPr>
  </w:style>
  <w:style w:type="character" w:styleId="Style15">
    <w:name w:val="Символ концевой сноски"/>
    <w:basedOn w:val="DefaultParagraphFont"/>
    <w:uiPriority w:val="99"/>
    <w:semiHidden/>
    <w:unhideWhenUsed/>
    <w:qFormat/>
    <w:rsid w:val="00a90620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96201d"/>
    <w:pPr>
      <w:spacing w:before="0" w:after="0"/>
      <w:ind w:start="720"/>
      <w:contextualSpacing/>
    </w:pPr>
    <w:rPr/>
  </w:style>
  <w:style w:type="paragraph" w:styleId="EndnoteText">
    <w:name w:val="endnote text"/>
    <w:basedOn w:val="Normal"/>
    <w:link w:val="Style14"/>
    <w:uiPriority w:val="99"/>
    <w:semiHidden/>
    <w:unhideWhenUsed/>
    <w:rsid w:val="00a90620"/>
    <w:pPr/>
    <w:rPr/>
  </w:style>
  <w:style w:type="numbering" w:styleId="Style18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663352"/>
    <w:pPr>
      <w:spacing w:after="0" w:line="240" w:lineRule="auto"/>
    </w:pPr>
    <w:rPr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0">
    <w:name w:val="Сетка таблицы1"/>
    <w:basedOn w:val="a1"/>
    <w:uiPriority w:val="59"/>
    <w:rsid w:val="006a4fc8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1910EB-BF18-4111-A00B-9841CE471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Application>LibreOffice/26.2.5.2$Windows_X86_64 LibreOffice_project/cd7284b4cbbfeb507e630c1aac019f4157393acb</Application>
  <AppVersion>15.0000</AppVersion>
  <Pages>3</Pages>
  <Words>690</Words>
  <Characters>5253</Characters>
  <CharactersWithSpaces>6078</CharactersWithSpaces>
  <Paragraphs>65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2026-03-26T08:44:00Z</dcterms:created>
  <dc:creator>Агарина Виктория Владимировна</dc:creator>
  <dc:description/>
  <dc:language>ru-RU</dc:language>
  <cp:lastModifiedBy/>
  <cp:lastPrinted>2026-09-02T12:11:19Z</cp:lastPrinted>
  <dcterms:modified xsi:type="dcterms:W3CDTF">2026-09-02T12:11:52Z</dcterms:modified>
  <cp:revision>13</cp:revision>
  <dc:subject/>
  <dc:title>Заключениекомиссии об оценке последствий принятия решения об использовании объекта социальной инфраструктуры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